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80"/>
        <w:gridCol w:w="40"/>
        <w:gridCol w:w="260"/>
        <w:gridCol w:w="40"/>
        <w:gridCol w:w="5800"/>
        <w:gridCol w:w="60"/>
        <w:gridCol w:w="20"/>
        <w:gridCol w:w="20"/>
        <w:gridCol w:w="40"/>
        <w:gridCol w:w="40"/>
        <w:gridCol w:w="40"/>
        <w:gridCol w:w="40"/>
        <w:gridCol w:w="40"/>
        <w:gridCol w:w="80"/>
        <w:gridCol w:w="60"/>
        <w:gridCol w:w="40"/>
        <w:gridCol w:w="40"/>
        <w:gridCol w:w="60"/>
        <w:gridCol w:w="80"/>
        <w:gridCol w:w="300"/>
      </w:tblGrid>
      <w:tr w:rsidR="00017147" w:rsidTr="003E6F72">
        <w:trPr>
          <w:gridAfter w:val="2"/>
          <w:wAfter w:w="380" w:type="dxa"/>
          <w:trHeight w:hRule="exact" w:val="254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F27D12" w:rsidRPr="00B2187D" w:rsidRDefault="00CF4604" w:rsidP="00F27D12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53505">
              <w:rPr>
                <w:rFonts w:ascii="Arial" w:hAnsi="Arial" w:cs="Arial"/>
                <w:b/>
                <w:lang w:val="sr-Cyrl-RS"/>
              </w:rPr>
              <w:t xml:space="preserve">ЈАВНА НАБАВКА бр. </w:t>
            </w:r>
            <w:r w:rsidR="00F27D12" w:rsidRPr="00B2187D">
              <w:rPr>
                <w:rFonts w:eastAsia="Arial" w:cs="Arial"/>
                <w:b/>
                <w:color w:val="000000"/>
                <w:sz w:val="22"/>
                <w:szCs w:val="22"/>
              </w:rPr>
              <w:t>ЈН/3000/0595/2020 (1507/2020)</w:t>
            </w:r>
            <w:r w:rsidR="00F27D12">
              <w:rPr>
                <w:rFonts w:eastAsia="Arial" w:cs="Arial"/>
                <w:b/>
                <w:color w:val="000000"/>
                <w:sz w:val="22"/>
                <w:szCs w:val="22"/>
                <w:lang w:val="sr-Cyrl-RS"/>
              </w:rPr>
              <w:t xml:space="preserve"> за Партију 1</w:t>
            </w:r>
          </w:p>
          <w:p w:rsidR="00F27D12" w:rsidRPr="006F5BEA" w:rsidRDefault="00593FFB" w:rsidP="00F27D1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              </w:t>
            </w:r>
            <w:r w:rsidR="00F27D12" w:rsidRPr="006F5BEA">
              <w:rPr>
                <w:rFonts w:ascii="Arial" w:hAnsi="Arial" w:cs="Arial"/>
                <w:sz w:val="22"/>
                <w:szCs w:val="22"/>
                <w:lang w:val="sr-Cyrl-RS"/>
              </w:rPr>
              <w:t>Проширење система техничке заштите на објектима Огранка ТЕНТ “ по партијама:</w:t>
            </w:r>
          </w:p>
          <w:p w:rsidR="00EE739D" w:rsidRPr="006F5BEA" w:rsidRDefault="00F27D12" w:rsidP="00F27D12">
            <w:pPr>
              <w:pStyle w:val="ListParagraph"/>
              <w:spacing w:after="0"/>
              <w:ind w:right="-14"/>
              <w:jc w:val="center"/>
              <w:rPr>
                <w:rFonts w:ascii="Arial" w:hAnsi="Arial" w:cs="Arial"/>
                <w:b/>
              </w:rPr>
            </w:pPr>
            <w:r w:rsidRPr="006F5BEA">
              <w:rPr>
                <w:rFonts w:ascii="Arial" w:hAnsi="Arial" w:cs="Arial"/>
                <w:lang w:val="sr-Cyrl-RS"/>
              </w:rPr>
              <w:t>Партија 1. „Опрема за системе видео надзора и приступне контроле</w:t>
            </w:r>
            <w:r w:rsidR="00593FFB" w:rsidRPr="006F5BEA">
              <w:rPr>
                <w:rFonts w:ascii="Arial" w:hAnsi="Arial" w:cs="Arial"/>
                <w:lang w:val="sr-Cyrl-RS"/>
              </w:rPr>
              <w:t xml:space="preserve">                 </w:t>
            </w:r>
          </w:p>
          <w:p w:rsidR="006B230B" w:rsidRPr="006B230B" w:rsidRDefault="00EE739D" w:rsidP="00EE311D">
            <w:pPr>
              <w:pStyle w:val="ListParagraph"/>
              <w:spacing w:after="0"/>
              <w:ind w:right="-14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Место:</w:t>
            </w:r>
            <w:r w:rsidR="006B230B" w:rsidRPr="006B230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Обреновац</w:t>
            </w:r>
          </w:p>
          <w:tbl>
            <w:tblPr>
              <w:tblpPr w:leftFromText="180" w:rightFromText="180" w:vertAnchor="text" w:tblpY="1"/>
              <w:tblOverlap w:val="never"/>
              <w:tblW w:w="109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7"/>
            </w:tblGrid>
            <w:tr w:rsidR="006B230B" w:rsidRPr="006B230B" w:rsidTr="005E6090">
              <w:trPr>
                <w:trHeight w:hRule="exact" w:val="1037"/>
              </w:trPr>
              <w:tc>
                <w:tcPr>
                  <w:tcW w:w="5993" w:type="dxa"/>
                </w:tcPr>
                <w:p w:rsidR="006B230B" w:rsidRPr="00F27D12" w:rsidRDefault="006B230B" w:rsidP="006F2A88">
                  <w:pPr>
                    <w:rPr>
                      <w:b/>
                      <w:lang w:val="sr-Cyrl-RS"/>
                    </w:rPr>
                  </w:pPr>
                  <w:r w:rsidRP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                                                                 </w:t>
                  </w:r>
                  <w:r w:rsid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    </w:t>
                  </w:r>
                  <w:r w:rsidRP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Број</w:t>
                  </w:r>
                  <w:r w:rsidR="00305275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</w:t>
                  </w:r>
                  <w:bookmarkStart w:id="0" w:name="_GoBack"/>
                  <w:r w:rsidR="006F2A88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20600-Е.03.01-93215/7-2021</w:t>
                  </w:r>
                  <w:r w:rsidR="0058084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CF4604" w:rsidRPr="00FC6C7A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од</w:t>
                  </w:r>
                  <w:r w:rsidR="0058084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6F2A88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11.06.2021</w:t>
                  </w:r>
                  <w:bookmarkEnd w:id="0"/>
                </w:p>
              </w:tc>
            </w:tr>
          </w:tbl>
          <w:p w:rsidR="006B230B" w:rsidRPr="009C0FFB" w:rsidRDefault="006B230B" w:rsidP="005E6090">
            <w:pPr>
              <w:pStyle w:val="ListParagraph"/>
              <w:ind w:right="-14"/>
              <w:jc w:val="both"/>
              <w:rPr>
                <w:rFonts w:cs="Arial"/>
                <w:color w:val="000000"/>
                <w:lang w:val="sr-Cyrl-RS"/>
              </w:rPr>
            </w:pPr>
          </w:p>
          <w:p w:rsidR="00017147" w:rsidRPr="00E55347" w:rsidRDefault="00017147" w:rsidP="005E6090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11113F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4850DD" w:rsidRDefault="00017147" w:rsidP="00F229A9">
            <w:pPr>
              <w:rPr>
                <w:b/>
                <w:sz w:val="22"/>
                <w:szCs w:val="22"/>
                <w:lang w:val="sr-Cyrl-RS"/>
              </w:rPr>
            </w:pPr>
            <w:r w:rsidRPr="004850D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За </w:t>
            </w:r>
            <w:r w:rsidR="00F229A9" w:rsidRPr="004850D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добра</w:t>
            </w:r>
            <w:r w:rsidRPr="004850D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опис предмета набавке, назив и о</w:t>
            </w:r>
            <w:r w:rsidR="004850D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знака из општег речника набавке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7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4850DD" w:rsidRDefault="00F27D12" w:rsidP="00FC6C7A">
            <w:pPr>
              <w:jc w:val="both"/>
              <w:rPr>
                <w:rFonts w:ascii="Arial" w:hAnsi="Arial" w:cs="Arial"/>
              </w:rPr>
            </w:pPr>
            <w:r w:rsidRPr="004850DD">
              <w:rPr>
                <w:rFonts w:ascii="Arial" w:hAnsi="Arial" w:cs="Arial"/>
                <w:sz w:val="22"/>
                <w:szCs w:val="22"/>
                <w:lang w:val="sr-Cyrl-RS"/>
              </w:rPr>
              <w:t>Партија 1. „Опрема за системе видео надзора и приступне контроле</w:t>
            </w:r>
            <w:r w:rsidR="004850DD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19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940"/>
        </w:trPr>
        <w:tc>
          <w:tcPr>
            <w:tcW w:w="580" w:type="dxa"/>
          </w:tcPr>
          <w:p w:rsidR="00017147" w:rsidRPr="004F4668" w:rsidRDefault="00017147" w:rsidP="005E6090">
            <w:pPr>
              <w:pStyle w:val="EMPTYCELLSTYLE"/>
              <w:rPr>
                <w:highlight w:val="yellow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F27D12" w:rsidP="005E6090">
            <w:pPr>
              <w:rPr>
                <w:rFonts w:ascii="Arial" w:hAnsi="Arial" w:cs="Arial"/>
                <w:b/>
                <w:lang w:val="sr-Cyrl-RS"/>
              </w:rPr>
            </w:pPr>
            <w:r w:rsidRPr="006F5BEA">
              <w:rPr>
                <w:rFonts w:ascii="Arial" w:hAnsi="Arial" w:cs="Arial"/>
                <w:b/>
                <w:lang w:val="sr-Cyrl-RS"/>
              </w:rPr>
              <w:t>Алармни апарати за заштиту од крађе или пожара - 31625000, Радио мрежа - 32418000, Радио станице - 32344230, Систем за видео надзор - 32323500.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10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>
              <w:rPr>
                <w:rFonts w:ascii="Arial" w:eastAsia="Arial" w:hAnsi="Arial" w:cs="Arial"/>
                <w:color w:val="000000"/>
              </w:rPr>
              <w:t>редност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A10CA5" w:rsidTr="003E6F72">
        <w:trPr>
          <w:gridAfter w:val="2"/>
          <w:wAfter w:w="380" w:type="dxa"/>
          <w:trHeight w:hRule="exact" w:val="660"/>
        </w:trPr>
        <w:tc>
          <w:tcPr>
            <w:tcW w:w="58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10CA5" w:rsidRDefault="00A10CA5"/>
        </w:tc>
        <w:tc>
          <w:tcPr>
            <w:tcW w:w="5900" w:type="dxa"/>
            <w:gridSpan w:val="3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10CA5" w:rsidRPr="007D43CF" w:rsidRDefault="00800611" w:rsidP="00714AF3">
            <w:pPr>
              <w:rPr>
                <w:b/>
                <w:lang w:val="sr-Cyrl-RS"/>
              </w:rPr>
            </w:pPr>
            <w:r w:rsidRPr="00800611">
              <w:rPr>
                <w:rFonts w:cs="Arial"/>
                <w:b/>
                <w:sz w:val="22"/>
                <w:szCs w:val="22"/>
                <w:lang w:val="sr-Cyrl-RS"/>
              </w:rPr>
              <w:t xml:space="preserve">7.160.800,00 </w:t>
            </w:r>
            <w:r w:rsidR="00EE739D" w:rsidRPr="00F147A6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="00EE73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14AF3" w:rsidRPr="007D43CF">
              <w:rPr>
                <w:rFonts w:cs="Arial"/>
                <w:b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4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A10CA5" w:rsidRDefault="00A10CA5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10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35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47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17147" w:rsidRDefault="00017147" w:rsidP="00017147">
            <w:pPr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6F5BEA" w:rsidRDefault="00F229A9" w:rsidP="005E6090">
            <w:pPr>
              <w:pStyle w:val="EMPTYCELLSTYLE"/>
              <w:rPr>
                <w:b/>
                <w:lang w:val="sr-Cyrl-RS"/>
              </w:rPr>
            </w:pPr>
            <w:r w:rsidRPr="006F5BEA">
              <w:rPr>
                <w:b/>
                <w:lang w:val="sr-Cyrl-RS"/>
              </w:rPr>
              <w:t>1</w:t>
            </w: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EE739D" w:rsidP="005E6090">
            <w:pPr>
              <w:rPr>
                <w:b/>
              </w:rPr>
            </w:pPr>
            <w:r w:rsidRPr="006F5BEA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00611" w:rsidP="00017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8.070.373,71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7D43CF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120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/>
        </w:tc>
        <w:tc>
          <w:tcPr>
            <w:tcW w:w="6240" w:type="dxa"/>
            <w:gridSpan w:val="7"/>
          </w:tcPr>
          <w:p w:rsidR="007D43CF" w:rsidRPr="006F5BEA" w:rsidRDefault="007D4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7D43CF" w:rsidRDefault="007D43CF" w:rsidP="005E6090">
            <w:pPr>
              <w:pStyle w:val="EMPTYCELLSTYLE"/>
            </w:pPr>
          </w:p>
        </w:tc>
      </w:tr>
      <w:tr w:rsidR="007D43CF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120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D43CF" w:rsidRPr="006F5BEA" w:rsidRDefault="00800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7.160.800,00</w:t>
            </w:r>
          </w:p>
        </w:tc>
        <w:tc>
          <w:tcPr>
            <w:tcW w:w="40" w:type="dxa"/>
          </w:tcPr>
          <w:p w:rsidR="007D43CF" w:rsidRDefault="007D43CF">
            <w:r w:rsidRPr="00A472BD">
              <w:rPr>
                <w:rFonts w:cs="Arial"/>
                <w:sz w:val="22"/>
                <w:szCs w:val="24"/>
              </w:rPr>
              <w:t>476.928</w:t>
            </w:r>
            <w:r w:rsidRPr="00A472BD">
              <w:rPr>
                <w:rFonts w:cs="Arial"/>
                <w:sz w:val="22"/>
                <w:szCs w:val="24"/>
                <w:lang w:val="sr-Cyrl-RS"/>
              </w:rPr>
              <w:t xml:space="preserve">,00 </w:t>
            </w: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7D43CF" w:rsidRDefault="007D43CF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00611" w:rsidP="005E6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7.160.800,00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00611" w:rsidP="005E6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E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7.160.800,00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A46FA2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6F5BEA" w:rsidP="005E6090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2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3B6AF2" w:rsidP="005E6090">
            <w:pPr>
              <w:pStyle w:val="EMPTYCELLSTYLE"/>
            </w:pPr>
            <w:r>
              <w:t>03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5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220" w:type="dxa"/>
            <w:gridSpan w:val="2"/>
          </w:tcPr>
          <w:p w:rsidR="00017147" w:rsidRPr="00800611" w:rsidRDefault="00800611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06</w:t>
            </w:r>
          </w:p>
        </w:tc>
        <w:tc>
          <w:tcPr>
            <w:tcW w:w="40" w:type="dxa"/>
          </w:tcPr>
          <w:p w:rsidR="00017147" w:rsidRPr="00F84923" w:rsidRDefault="00017147" w:rsidP="005E6090">
            <w:pPr>
              <w:pStyle w:val="EMPTYCELLSTYLE"/>
              <w:rPr>
                <w:highlight w:val="yellow"/>
              </w:rPr>
            </w:pPr>
          </w:p>
        </w:tc>
        <w:tc>
          <w:tcPr>
            <w:tcW w:w="64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00611" w:rsidP="00714AF3">
            <w:pPr>
              <w:rPr>
                <w:rFonts w:ascii="Arial" w:hAnsi="Arial" w:cs="Arial"/>
                <w:b/>
                <w:highlight w:val="yellow"/>
                <w:lang w:val="sr-Cyrl-RS"/>
              </w:rPr>
            </w:pPr>
            <w:r w:rsidRPr="006F5BEA">
              <w:rPr>
                <w:rFonts w:ascii="Arial" w:hAnsi="Arial" w:cs="Arial"/>
                <w:b/>
                <w:lang w:val="sr-Cyrl-RS"/>
              </w:rPr>
              <w:t>06.04.2021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017147" w:rsidRPr="006F5BEA" w:rsidRDefault="00017147" w:rsidP="005E6090">
            <w:pPr>
              <w:pStyle w:val="EMPTYCELLSTYLE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220" w:type="dxa"/>
            <w:gridSpan w:val="2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27.05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6F5BEA" w:rsidRDefault="00855196" w:rsidP="00FF10F1">
            <w:pPr>
              <w:rPr>
                <w:rFonts w:ascii="Arial" w:hAnsi="Arial" w:cs="Arial"/>
                <w:b/>
                <w:lang w:val="sr-Cyrl-RS"/>
              </w:rPr>
            </w:pPr>
            <w:r w:rsidRPr="006F5BEA">
              <w:rPr>
                <w:rFonts w:ascii="Arial" w:hAnsi="Arial" w:cs="Arial"/>
                <w:b/>
                <w:lang w:val="sr-Cyrl-RS"/>
              </w:rPr>
              <w:t>01.06.2021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236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EE311D" w:rsidRDefault="006F5BEA" w:rsidP="000342D0">
            <w:pPr>
              <w:tabs>
                <w:tab w:val="left" w:pos="2505"/>
              </w:tabs>
            </w:pPr>
            <w:r w:rsidRPr="0068548D">
              <w:rPr>
                <w:rFonts w:cs="Arial"/>
              </w:rPr>
              <w:t>Secam CCTV Corporation</w:t>
            </w:r>
            <w:proofErr w:type="gramStart"/>
            <w:r w:rsidRPr="0068548D">
              <w:rPr>
                <w:rFonts w:cs="Arial"/>
              </w:rPr>
              <w:t>“ доо</w:t>
            </w:r>
            <w:proofErr w:type="gramEnd"/>
            <w:r w:rsidRPr="0068548D">
              <w:rPr>
                <w:rFonts w:cs="Arial"/>
              </w:rPr>
              <w:t xml:space="preserve"> из Београда, ул. Војводе Богдана, бр.34, матични број: 20859407, ПИБ: 107723434</w:t>
            </w: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2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220" w:type="dxa"/>
            <w:gridSpan w:val="2"/>
          </w:tcPr>
          <w:p w:rsidR="00017147" w:rsidRPr="00F669A6" w:rsidRDefault="00F669A6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40" w:type="dxa"/>
          </w:tcPr>
          <w:p w:rsidR="00017147" w:rsidRDefault="000342D0" w:rsidP="005E6090">
            <w:pPr>
              <w:pStyle w:val="EMPTYCELLSTYLE"/>
            </w:pPr>
            <w:r>
              <w:t>12 meseci</w:t>
            </w: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55196" w:rsidRDefault="00855196" w:rsidP="004534BD">
            <w:pPr>
              <w:rPr>
                <w:lang w:val="sr-Cyrl-RS"/>
              </w:rPr>
            </w:pPr>
            <w:r>
              <w:rPr>
                <w:lang w:val="sr-Cyrl-RS"/>
              </w:rPr>
              <w:t>40 дана од дана ступања уговора на снагу, односно до испуњења уговорних обавеза.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3561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Купац може након закључења уговора о јавној набавци без спровођења поступка јавне набавке повећати обим предмета набавке максимално до 5% укупне вредности уговора под условом да има обезбеђена финансијска средства.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Након закључења уговора о јавној набавци Купац може да дозволи промену битних елемената уговора из следећих објективних разлога: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-</w:t>
            </w:r>
            <w:r w:rsidRPr="005224CA">
              <w:rPr>
                <w:rFonts w:cs="Arial"/>
                <w:bCs/>
                <w:lang w:val="sr-Cyrl-CS"/>
              </w:rPr>
              <w:tab/>
              <w:t>услед дејства више силе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-</w:t>
            </w:r>
            <w:r w:rsidRPr="005224CA">
              <w:rPr>
                <w:rFonts w:cs="Arial"/>
                <w:bCs/>
                <w:lang w:val="sr-Cyrl-CS"/>
              </w:rPr>
              <w:tab/>
              <w:t>уколико дође до измене важећих законских прописа, подзаконских и других правних аката“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-</w:t>
            </w:r>
            <w:r w:rsidRPr="005224CA">
              <w:rPr>
                <w:rFonts w:cs="Arial"/>
                <w:bCs/>
                <w:lang w:val="sr-Cyrl-CS"/>
              </w:rPr>
              <w:tab/>
              <w:t>услед мера  државних органа</w:t>
            </w:r>
          </w:p>
          <w:p w:rsidR="006F5BEA" w:rsidRPr="005224CA" w:rsidRDefault="006F5BEA" w:rsidP="006F5BEA">
            <w:pPr>
              <w:tabs>
                <w:tab w:val="left" w:pos="567"/>
              </w:tabs>
              <w:rPr>
                <w:rFonts w:cs="Arial"/>
                <w:bCs/>
                <w:lang w:val="sr-Cyrl-CS"/>
              </w:rPr>
            </w:pPr>
            <w:r w:rsidRPr="005224CA">
              <w:rPr>
                <w:rFonts w:cs="Arial"/>
                <w:bCs/>
                <w:lang w:val="sr-Cyrl-CS"/>
              </w:rPr>
              <w:t>У свим наведеним случајевима,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      </w:r>
          </w:p>
          <w:p w:rsidR="00017147" w:rsidRDefault="00017147" w:rsidP="00F84923"/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66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lang w:val="sr-Latn-RS"/>
              </w:rPr>
              <w:t>filipovic.vladimir</w:t>
            </w:r>
            <w:r>
              <w:t>@eps.rs</w:t>
            </w: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</w:tbl>
    <w:p w:rsidR="007F3A99" w:rsidRPr="003B6AF2" w:rsidRDefault="00FC6C7A" w:rsidP="007F3A99">
      <w:pPr>
        <w:spacing w:after="60"/>
        <w:ind w:right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536187">
        <w:rPr>
          <w:rFonts w:cs="Arial"/>
          <w:b/>
          <w:sz w:val="22"/>
          <w:szCs w:val="22"/>
          <w:lang w:val="ru-RU"/>
        </w:rPr>
        <w:t xml:space="preserve"> </w:t>
      </w:r>
      <w:r w:rsidR="00A10CA5" w:rsidRPr="00171213">
        <w:rPr>
          <w:rFonts w:cs="Arial"/>
          <w:b/>
          <w:sz w:val="22"/>
          <w:szCs w:val="22"/>
          <w:lang w:val="ru-RU"/>
        </w:rPr>
        <w:t xml:space="preserve">ЈАВНА НАБАВКА бр. </w:t>
      </w:r>
      <w:r w:rsidR="006F5BEA" w:rsidRPr="00B2187D">
        <w:rPr>
          <w:rFonts w:eastAsia="Arial" w:cs="Arial"/>
          <w:b/>
          <w:color w:val="000000"/>
          <w:sz w:val="22"/>
          <w:szCs w:val="22"/>
        </w:rPr>
        <w:t>ЈН/3000/0595/2020 (1507/2020)</w:t>
      </w:r>
      <w:r w:rsidR="006F5BEA">
        <w:rPr>
          <w:rFonts w:eastAsia="Arial" w:cs="Arial"/>
          <w:b/>
          <w:color w:val="000000"/>
          <w:sz w:val="22"/>
          <w:szCs w:val="22"/>
          <w:lang w:val="sr-Cyrl-RS"/>
        </w:rPr>
        <w:t xml:space="preserve"> за Партију 1</w:t>
      </w:r>
    </w:p>
    <w:p w:rsidR="00FC6C7A" w:rsidRPr="00FC6C7A" w:rsidRDefault="00FC6C7A" w:rsidP="00FC6C7A">
      <w:pPr>
        <w:spacing w:after="60"/>
        <w:ind w:right="142"/>
      </w:pPr>
    </w:p>
    <w:sectPr w:rsidR="00FC6C7A" w:rsidRPr="00FC6C7A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6A2"/>
    <w:multiLevelType w:val="hybridMultilevel"/>
    <w:tmpl w:val="373EA108"/>
    <w:lvl w:ilvl="0" w:tplc="B6C8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7"/>
    <w:rsid w:val="00017147"/>
    <w:rsid w:val="000342D0"/>
    <w:rsid w:val="0008713B"/>
    <w:rsid w:val="000B778B"/>
    <w:rsid w:val="0011113F"/>
    <w:rsid w:val="001205E2"/>
    <w:rsid w:val="00153505"/>
    <w:rsid w:val="00180FAA"/>
    <w:rsid w:val="001A7EC4"/>
    <w:rsid w:val="001D27F9"/>
    <w:rsid w:val="001D4FD1"/>
    <w:rsid w:val="001D6542"/>
    <w:rsid w:val="0020732D"/>
    <w:rsid w:val="00223B35"/>
    <w:rsid w:val="00241390"/>
    <w:rsid w:val="002528B0"/>
    <w:rsid w:val="00286938"/>
    <w:rsid w:val="002B36E6"/>
    <w:rsid w:val="00305275"/>
    <w:rsid w:val="003568FC"/>
    <w:rsid w:val="00384F9E"/>
    <w:rsid w:val="003A182B"/>
    <w:rsid w:val="003B6AF2"/>
    <w:rsid w:val="003C3F57"/>
    <w:rsid w:val="003E6F72"/>
    <w:rsid w:val="00444F1A"/>
    <w:rsid w:val="004534BD"/>
    <w:rsid w:val="004850DD"/>
    <w:rsid w:val="004D2D00"/>
    <w:rsid w:val="004D4B55"/>
    <w:rsid w:val="004F34EB"/>
    <w:rsid w:val="004F4668"/>
    <w:rsid w:val="00500B68"/>
    <w:rsid w:val="00503CAF"/>
    <w:rsid w:val="00536187"/>
    <w:rsid w:val="00580842"/>
    <w:rsid w:val="00593FFB"/>
    <w:rsid w:val="005B1371"/>
    <w:rsid w:val="005B729E"/>
    <w:rsid w:val="005D1E9F"/>
    <w:rsid w:val="005E25F1"/>
    <w:rsid w:val="00674106"/>
    <w:rsid w:val="006B230B"/>
    <w:rsid w:val="006C3DB1"/>
    <w:rsid w:val="006E4557"/>
    <w:rsid w:val="006F2A88"/>
    <w:rsid w:val="006F5BEA"/>
    <w:rsid w:val="007027CD"/>
    <w:rsid w:val="007061ED"/>
    <w:rsid w:val="00714AF3"/>
    <w:rsid w:val="007273C7"/>
    <w:rsid w:val="007367F2"/>
    <w:rsid w:val="00751CF1"/>
    <w:rsid w:val="007D43CF"/>
    <w:rsid w:val="007F3A99"/>
    <w:rsid w:val="00800611"/>
    <w:rsid w:val="00855196"/>
    <w:rsid w:val="008B709F"/>
    <w:rsid w:val="009341C8"/>
    <w:rsid w:val="00943943"/>
    <w:rsid w:val="009812B0"/>
    <w:rsid w:val="00985537"/>
    <w:rsid w:val="009A4288"/>
    <w:rsid w:val="009E1E87"/>
    <w:rsid w:val="00A10CA5"/>
    <w:rsid w:val="00AE3C5C"/>
    <w:rsid w:val="00B048AE"/>
    <w:rsid w:val="00B3208B"/>
    <w:rsid w:val="00B4727B"/>
    <w:rsid w:val="00B61E17"/>
    <w:rsid w:val="00B931AC"/>
    <w:rsid w:val="00BC052E"/>
    <w:rsid w:val="00BC245C"/>
    <w:rsid w:val="00BD30F9"/>
    <w:rsid w:val="00BE13BE"/>
    <w:rsid w:val="00C70DC2"/>
    <w:rsid w:val="00C71D84"/>
    <w:rsid w:val="00CA0BBF"/>
    <w:rsid w:val="00CD74D3"/>
    <w:rsid w:val="00CF4604"/>
    <w:rsid w:val="00D14870"/>
    <w:rsid w:val="00D44C10"/>
    <w:rsid w:val="00D93EA6"/>
    <w:rsid w:val="00DA622F"/>
    <w:rsid w:val="00DC2068"/>
    <w:rsid w:val="00E64D90"/>
    <w:rsid w:val="00EE311D"/>
    <w:rsid w:val="00EE739D"/>
    <w:rsid w:val="00F20958"/>
    <w:rsid w:val="00F229A9"/>
    <w:rsid w:val="00F27D12"/>
    <w:rsid w:val="00F669A6"/>
    <w:rsid w:val="00F84923"/>
    <w:rsid w:val="00FC6C7A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1E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1E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D614F-0B80-4119-9C16-ADD80A7FA61B}"/>
</file>

<file path=customXml/itemProps2.xml><?xml version="1.0" encoding="utf-8"?>
<ds:datastoreItem xmlns:ds="http://schemas.openxmlformats.org/officeDocument/2006/customXml" ds:itemID="{DD802666-4D72-459C-A39A-7D8EB7A4EEF3}"/>
</file>

<file path=customXml/itemProps3.xml><?xml version="1.0" encoding="utf-8"?>
<ds:datastoreItem xmlns:ds="http://schemas.openxmlformats.org/officeDocument/2006/customXml" ds:itemID="{E181E251-CDA5-4052-9898-F5F9F6F5F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3</cp:revision>
  <cp:lastPrinted>2021-06-11T11:03:00Z</cp:lastPrinted>
  <dcterms:created xsi:type="dcterms:W3CDTF">2021-06-11T11:04:00Z</dcterms:created>
  <dcterms:modified xsi:type="dcterms:W3CDTF">2021-06-14T11:05:00Z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